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5C7E7A87" w14:textId="2A6D5A5F" w:rsidR="00D82EFD" w:rsidRPr="005B3D04" w:rsidRDefault="000374A7" w:rsidP="00BB2CB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0124D">
              <w:rPr>
                <w:rFonts w:ascii="Segoe UI" w:hAnsi="Segoe UI" w:cs="Segoe UI"/>
                <w:sz w:val="20"/>
                <w:szCs w:val="20"/>
              </w:rPr>
              <w:t>Spotkanie informacyjne</w:t>
            </w:r>
            <w:r w:rsidRPr="00D82E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44E6E" w:rsidRPr="00D82EFD">
              <w:rPr>
                <w:rFonts w:ascii="Segoe UI" w:hAnsi="Segoe UI" w:cs="Segoe UI"/>
                <w:sz w:val="18"/>
                <w:szCs w:val="18"/>
              </w:rPr>
              <w:br/>
            </w:r>
            <w:r w:rsidRPr="00D82EFD">
              <w:rPr>
                <w:rFonts w:ascii="Segoe UI" w:hAnsi="Segoe UI" w:cs="Segoe UI"/>
                <w:sz w:val="20"/>
                <w:szCs w:val="20"/>
              </w:rPr>
              <w:t xml:space="preserve">w 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>Wawerskiej Strefie Przedsiębiorczości w Warszawie</w:t>
            </w:r>
          </w:p>
          <w:p w14:paraId="33EBD5B2" w14:textId="13FC36CE" w:rsidR="00E73C86" w:rsidRPr="005B3D04" w:rsidRDefault="005D034D" w:rsidP="00D82EF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pt.</w:t>
            </w:r>
            <w:r w:rsidR="00371AA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371AA2"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371AA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Fundusze Europejskie dla przedsiębiorców”.</w:t>
            </w:r>
            <w:r w:rsidR="00E73C86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”</w:t>
            </w:r>
          </w:p>
          <w:p w14:paraId="746272D0" w14:textId="4ABCC0C7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405CF799" w:rsidR="005D47EC" w:rsidRPr="00293D3B" w:rsidRDefault="00371AA2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14</w:t>
            </w:r>
            <w:r w:rsidR="00A364D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maj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 1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 w:rsidR="00DA3869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FB18EA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</w:p>
          <w:p w14:paraId="24775090" w14:textId="1B557C8A" w:rsidR="00245E90" w:rsidRPr="00293D3B" w:rsidRDefault="00245E90" w:rsidP="00DA3869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25533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0263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3D3B"/>
    <w:rsid w:val="002948E7"/>
    <w:rsid w:val="0029681D"/>
    <w:rsid w:val="002A3684"/>
    <w:rsid w:val="002A770A"/>
    <w:rsid w:val="002B2EDF"/>
    <w:rsid w:val="002B3D5E"/>
    <w:rsid w:val="002B697D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1AA2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781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00942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B3D04"/>
    <w:rsid w:val="005C4376"/>
    <w:rsid w:val="005D034D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2D67"/>
    <w:rsid w:val="00833EB2"/>
    <w:rsid w:val="00837AAA"/>
    <w:rsid w:val="0084199D"/>
    <w:rsid w:val="00850C62"/>
    <w:rsid w:val="008573FE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523D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44E6E"/>
    <w:rsid w:val="00B54D23"/>
    <w:rsid w:val="00B554DD"/>
    <w:rsid w:val="00B7368D"/>
    <w:rsid w:val="00B81A5A"/>
    <w:rsid w:val="00B823FE"/>
    <w:rsid w:val="00B85BB5"/>
    <w:rsid w:val="00B9783F"/>
    <w:rsid w:val="00BA3AC4"/>
    <w:rsid w:val="00BB2CB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2EFD"/>
    <w:rsid w:val="00D875AA"/>
    <w:rsid w:val="00D90DA6"/>
    <w:rsid w:val="00D9118C"/>
    <w:rsid w:val="00D96602"/>
    <w:rsid w:val="00DA0B3B"/>
    <w:rsid w:val="00DA1A52"/>
    <w:rsid w:val="00DA3869"/>
    <w:rsid w:val="00DB57DF"/>
    <w:rsid w:val="00DC7396"/>
    <w:rsid w:val="00DD4C99"/>
    <w:rsid w:val="00DD7A67"/>
    <w:rsid w:val="00DE1300"/>
    <w:rsid w:val="00DF0C6D"/>
    <w:rsid w:val="00E1037C"/>
    <w:rsid w:val="00E10B81"/>
    <w:rsid w:val="00E1749D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73C86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124D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73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26</TotalTime>
  <Pages>2</Pages>
  <Words>315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Kamila Dulba</cp:lastModifiedBy>
  <cp:revision>27</cp:revision>
  <cp:lastPrinted>2014-05-30T11:37:00Z</cp:lastPrinted>
  <dcterms:created xsi:type="dcterms:W3CDTF">2023-11-06T08:22:00Z</dcterms:created>
  <dcterms:modified xsi:type="dcterms:W3CDTF">2025-05-05T10:39:00Z</dcterms:modified>
</cp:coreProperties>
</file>